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состоявшемся заседании Комиссии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Федерального казначейства по Челябинской области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конфликта интересов и принятых решениях</w:t>
      </w:r>
      <w:r>
        <w:rPr>
          <w:b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Управлении Федерального казначейства по Челябинской области (далее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У</w:t>
      </w:r>
      <w:r>
        <w:rPr>
          <w:sz w:val="28"/>
          <w:szCs w:val="28"/>
        </w:rPr>
        <w:t xml:space="preserve">правление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21 ноября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состоялось заседание К</w:t>
      </w:r>
      <w:r>
        <w:rPr>
          <w:sz w:val="28"/>
          <w:szCs w:val="28"/>
        </w:rPr>
        <w:t xml:space="preserve">омиссии</w:t>
      </w:r>
      <w:r>
        <w:rPr>
          <w:sz w:val="28"/>
          <w:szCs w:val="28"/>
        </w:rPr>
        <w:t xml:space="preserve"> Управления Федерального казначейства по Челябинской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конфликта интересов и принятых решениях</w:t>
      </w:r>
      <w:r>
        <w:rPr>
          <w:sz w:val="28"/>
          <w:szCs w:val="28"/>
        </w:rPr>
        <w:t xml:space="preserve"> (далее – К</w:t>
      </w:r>
      <w:r>
        <w:rPr>
          <w:sz w:val="28"/>
          <w:szCs w:val="28"/>
        </w:rPr>
        <w:t xml:space="preserve">омиссия)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741"/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  <w:t xml:space="preserve">Осно</w:t>
      </w:r>
      <w:r>
        <w:rPr>
          <w:sz w:val="28"/>
          <w:szCs w:val="28"/>
        </w:rPr>
        <w:t xml:space="preserve">вание для проведения заседания К</w:t>
      </w:r>
      <w:r>
        <w:rPr>
          <w:sz w:val="28"/>
          <w:szCs w:val="28"/>
        </w:rPr>
        <w:t xml:space="preserve">омиссии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73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атериал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 проверки, свидетельствующ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о представлении федеральным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государственным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гражданским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служащим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t xml:space="preserve">(далее – гражданские служащие) </w:t>
      </w:r>
      <w:r>
        <w:rPr>
          <w:sz w:val="28"/>
          <w:szCs w:val="28"/>
        </w:rPr>
        <w:t xml:space="preserve">недостоверных или неполных сведений о доходах, об имуществе и обязательствах имущественного характера</w:t>
      </w:r>
      <w:r>
        <w:rPr>
          <w:sz w:val="28"/>
          <w:szCs w:val="28"/>
        </w:rPr>
        <w:t xml:space="preserve"> в отношении двух гражданских служащих. 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заседания Комиссией приняты следующие решения: </w:t>
      </w:r>
      <w:r>
        <w:rPr>
          <w:sz w:val="28"/>
          <w:szCs w:val="28"/>
        </w:rPr>
      </w:r>
    </w:p>
    <w:p>
      <w:pPr>
        <w:pStyle w:val="742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ведения о доходах</w:t>
      </w:r>
      <w:r>
        <w:rPr>
          <w:sz w:val="28"/>
          <w:szCs w:val="28"/>
        </w:rPr>
        <w:t xml:space="preserve">, об имуществе и обязательствах имущественного характера, </w:t>
      </w:r>
      <w:r>
        <w:rPr>
          <w:sz w:val="28"/>
          <w:szCs w:val="28"/>
        </w:rPr>
        <w:t xml:space="preserve">представленные </w:t>
      </w:r>
      <w:r>
        <w:rPr>
          <w:sz w:val="28"/>
          <w:szCs w:val="28"/>
        </w:rPr>
        <w:t xml:space="preserve">гражданским служащим </w:t>
      </w:r>
      <w:r>
        <w:rPr>
          <w:sz w:val="28"/>
          <w:szCs w:val="28"/>
        </w:rPr>
        <w:t xml:space="preserve">на себя и супруга </w:t>
      </w:r>
      <w:r>
        <w:rPr>
          <w:sz w:val="28"/>
          <w:szCs w:val="28"/>
        </w:rPr>
        <w:t xml:space="preserve">в качестве кандидата, а также гражданского служащего </w:t>
      </w:r>
      <w:r>
        <w:rPr>
          <w:sz w:val="28"/>
          <w:szCs w:val="28"/>
        </w:rPr>
        <w:t xml:space="preserve">за 2023, 2024 годы, являются недостоверными и неполными. </w:t>
      </w:r>
      <w:r>
        <w:rPr>
          <w:sz w:val="28"/>
          <w:szCs w:val="28"/>
        </w:rPr>
      </w:r>
    </w:p>
    <w:p>
      <w:pPr>
        <w:pStyle w:val="74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руководителю Управления применить к гражданскому служащему конкретную меру ответственности – дисциплина</w:t>
      </w:r>
      <w:r>
        <w:rPr>
          <w:sz w:val="28"/>
          <w:szCs w:val="28"/>
        </w:rPr>
        <w:t xml:space="preserve">рное взыскание в виде замечания и у</w:t>
      </w:r>
      <w:r>
        <w:rPr>
          <w:sz w:val="28"/>
          <w:szCs w:val="28"/>
        </w:rPr>
        <w:t xml:space="preserve">казать гражданскому служащему на недопустимость нарушения требований законодательства Российской Федерации о противодействии коррупции.</w:t>
      </w:r>
      <w:r>
        <w:rPr>
          <w:sz w:val="28"/>
          <w:szCs w:val="28"/>
        </w:rPr>
      </w:r>
    </w:p>
    <w:p>
      <w:pPr>
        <w:pStyle w:val="742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ведения о доходах</w:t>
      </w:r>
      <w:r>
        <w:rPr>
          <w:sz w:val="28"/>
          <w:szCs w:val="28"/>
        </w:rPr>
        <w:t xml:space="preserve">, об имуществе и обязательствах имущественного характера, </w:t>
      </w:r>
      <w:r>
        <w:rPr>
          <w:sz w:val="28"/>
          <w:szCs w:val="28"/>
        </w:rPr>
        <w:t xml:space="preserve">представленные </w:t>
      </w:r>
      <w:r>
        <w:rPr>
          <w:sz w:val="28"/>
          <w:szCs w:val="28"/>
        </w:rPr>
        <w:t xml:space="preserve">гражданским служащим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супруга </w:t>
      </w:r>
      <w:r>
        <w:rPr>
          <w:sz w:val="28"/>
          <w:szCs w:val="28"/>
        </w:rPr>
        <w:t xml:space="preserve">за 2022-2024 годы </w:t>
      </w:r>
      <w:r>
        <w:rPr>
          <w:sz w:val="28"/>
          <w:szCs w:val="28"/>
        </w:rPr>
        <w:t xml:space="preserve">являются недостоверными и неполными. </w:t>
      </w:r>
      <w:r>
        <w:rPr>
          <w:sz w:val="28"/>
          <w:szCs w:val="28"/>
        </w:rPr>
      </w:r>
    </w:p>
    <w:p>
      <w:pPr>
        <w:pStyle w:val="742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руководителю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применить к гражданскому служащему конкретную меру ответственности – дисциплин</w:t>
      </w:r>
      <w:r>
        <w:rPr>
          <w:sz w:val="28"/>
          <w:szCs w:val="28"/>
        </w:rPr>
        <w:t xml:space="preserve">арное взыскание в виде выговора и у</w:t>
      </w:r>
      <w:bookmarkStart w:id="0" w:name="_GoBack"/>
      <w:r/>
      <w:bookmarkEnd w:id="0"/>
      <w:r>
        <w:rPr>
          <w:sz w:val="28"/>
          <w:szCs w:val="28"/>
        </w:rPr>
        <w:t xml:space="preserve">казать гражданскому служащему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недопустимость нарушения требований законодательства Российской Федерации о противодействии коррупции.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68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  <w:rPr>
        <w:rStyle w:val="737"/>
      </w:rPr>
      <w:framePr w:wrap="around" w:vAnchor="text" w:hAnchor="margin" w:xAlign="center" w:y="1"/>
    </w:pPr>
    <w:r>
      <w:rPr>
        <w:rStyle w:val="737"/>
      </w:rPr>
      <w:fldChar w:fldCharType="begin"/>
    </w:r>
    <w:r>
      <w:rPr>
        <w:rStyle w:val="737"/>
      </w:rPr>
      <w:instrText xml:space="preserve">PAGE  </w:instrText>
    </w:r>
    <w:r>
      <w:rPr>
        <w:rStyle w:val="737"/>
      </w:rPr>
      <w:fldChar w:fldCharType="separate"/>
    </w:r>
    <w:r>
      <w:rPr>
        <w:rStyle w:val="737"/>
      </w:rPr>
      <w:t xml:space="preserve">2</w:t>
    </w:r>
    <w:r>
      <w:rPr>
        <w:rStyle w:val="737"/>
      </w:rPr>
      <w:fldChar w:fldCharType="end"/>
    </w:r>
    <w:r>
      <w:rPr>
        <w:rStyle w:val="737"/>
      </w:rPr>
    </w:r>
  </w:p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  <w:rPr>
        <w:rStyle w:val="737"/>
      </w:rPr>
      <w:framePr w:wrap="around" w:vAnchor="text" w:hAnchor="margin" w:xAlign="center" w:y="1"/>
    </w:pPr>
    <w:r>
      <w:rPr>
        <w:rStyle w:val="737"/>
      </w:rPr>
      <w:fldChar w:fldCharType="begin"/>
    </w:r>
    <w:r>
      <w:rPr>
        <w:rStyle w:val="737"/>
      </w:rPr>
      <w:instrText xml:space="preserve">PAGE  </w:instrText>
    </w:r>
    <w:r>
      <w:rPr>
        <w:rStyle w:val="737"/>
      </w:rPr>
      <w:fldChar w:fldCharType="end"/>
    </w:r>
    <w:r>
      <w:rPr>
        <w:rStyle w:val="737"/>
      </w:rPr>
    </w:r>
  </w:p>
  <w:p>
    <w:pPr>
      <w:pStyle w:val="73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11"/>
  </w:num>
  <w:num w:numId="6">
    <w:abstractNumId w:val="10"/>
  </w:num>
  <w:num w:numId="7">
    <w:abstractNumId w:val="15"/>
  </w:num>
  <w:num w:numId="8">
    <w:abstractNumId w:val="12"/>
  </w:num>
  <w:num w:numId="9">
    <w:abstractNumId w:val="17"/>
  </w:num>
  <w:num w:numId="10">
    <w:abstractNumId w:val="2"/>
  </w:num>
  <w:num w:numId="11">
    <w:abstractNumId w:val="1"/>
  </w:num>
  <w:num w:numId="12">
    <w:abstractNumId w:val="8"/>
  </w:num>
  <w:num w:numId="13">
    <w:abstractNumId w:val="0"/>
  </w:num>
  <w:num w:numId="14">
    <w:abstractNumId w:val="13"/>
  </w:num>
  <w:num w:numId="15">
    <w:abstractNumId w:val="9"/>
  </w:num>
  <w:num w:numId="16">
    <w:abstractNumId w:val="16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7"/>
    <w:link w:val="72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25"/>
    <w:next w:val="72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2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25"/>
    <w:next w:val="72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2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7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7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7"/>
    <w:link w:val="733"/>
    <w:uiPriority w:val="99"/>
  </w:style>
  <w:style w:type="character" w:styleId="45">
    <w:name w:val="Footer Char"/>
    <w:basedOn w:val="727"/>
    <w:link w:val="735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7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7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7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rPr>
      <w:sz w:val="24"/>
      <w:szCs w:val="24"/>
    </w:rPr>
  </w:style>
  <w:style w:type="paragraph" w:styleId="726">
    <w:name w:val="Heading 1"/>
    <w:basedOn w:val="725"/>
    <w:next w:val="725"/>
    <w:link w:val="740"/>
    <w:uiPriority w:val="99"/>
    <w:qFormat/>
    <w:pPr>
      <w:jc w:val="center"/>
      <w:spacing w:before="108" w:after="108"/>
      <w:outlineLvl w:val="0"/>
    </w:pPr>
    <w:rPr>
      <w:rFonts w:ascii="Arial" w:hAnsi="Arial" w:eastAsia="Calibri" w:cs="Arial"/>
      <w:b/>
      <w:bCs/>
      <w:color w:val="26282f"/>
      <w:lang w:eastAsia="en-US"/>
    </w:rPr>
  </w:style>
  <w:style w:type="character" w:styleId="727" w:default="1">
    <w:name w:val="Default Paragraph Font"/>
    <w:uiPriority w:val="1"/>
    <w:semiHidden/>
    <w:unhideWhenUsed/>
  </w:style>
  <w:style w:type="table" w:styleId="7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9" w:default="1">
    <w:name w:val="No List"/>
    <w:uiPriority w:val="99"/>
    <w:semiHidden/>
    <w:unhideWhenUsed/>
  </w:style>
  <w:style w:type="character" w:styleId="730" w:customStyle="1">
    <w:name w:val="news-date-time"/>
    <w:uiPriority w:val="99"/>
    <w:rPr>
      <w:rFonts w:cs="Times New Roman"/>
    </w:rPr>
  </w:style>
  <w:style w:type="paragraph" w:styleId="731">
    <w:name w:val="Body Text Indent"/>
    <w:basedOn w:val="725"/>
    <w:link w:val="732"/>
    <w:uiPriority w:val="99"/>
    <w:pPr>
      <w:ind w:left="360"/>
      <w:jc w:val="both"/>
    </w:pPr>
  </w:style>
  <w:style w:type="character" w:styleId="732" w:customStyle="1">
    <w:name w:val="Основной текст с отступом Знак"/>
    <w:link w:val="731"/>
    <w:uiPriority w:val="99"/>
    <w:rPr>
      <w:rFonts w:cs="Times New Roman"/>
      <w:sz w:val="24"/>
      <w:szCs w:val="24"/>
    </w:rPr>
  </w:style>
  <w:style w:type="paragraph" w:styleId="733">
    <w:name w:val="Header"/>
    <w:basedOn w:val="725"/>
    <w:link w:val="734"/>
    <w:uiPriority w:val="99"/>
    <w:pPr>
      <w:tabs>
        <w:tab w:val="center" w:pos="4677" w:leader="none"/>
        <w:tab w:val="right" w:pos="9355" w:leader="none"/>
      </w:tabs>
    </w:pPr>
  </w:style>
  <w:style w:type="character" w:styleId="734" w:customStyle="1">
    <w:name w:val="Верхний колонтитул Знак"/>
    <w:link w:val="733"/>
    <w:uiPriority w:val="99"/>
    <w:rPr>
      <w:rFonts w:cs="Times New Roman"/>
      <w:sz w:val="24"/>
      <w:szCs w:val="24"/>
    </w:rPr>
  </w:style>
  <w:style w:type="paragraph" w:styleId="735">
    <w:name w:val="Footer"/>
    <w:basedOn w:val="725"/>
    <w:link w:val="736"/>
    <w:uiPriority w:val="99"/>
    <w:pPr>
      <w:tabs>
        <w:tab w:val="center" w:pos="4677" w:leader="none"/>
        <w:tab w:val="right" w:pos="9355" w:leader="none"/>
      </w:tabs>
    </w:pPr>
  </w:style>
  <w:style w:type="character" w:styleId="736" w:customStyle="1">
    <w:name w:val="Нижний колонтитул Знак"/>
    <w:link w:val="735"/>
    <w:uiPriority w:val="99"/>
    <w:rPr>
      <w:rFonts w:cs="Times New Roman"/>
      <w:sz w:val="24"/>
      <w:szCs w:val="24"/>
    </w:rPr>
  </w:style>
  <w:style w:type="character" w:styleId="737">
    <w:name w:val="page number"/>
    <w:uiPriority w:val="99"/>
    <w:rPr>
      <w:rFonts w:cs="Times New Roman"/>
    </w:rPr>
  </w:style>
  <w:style w:type="character" w:styleId="738">
    <w:name w:val="Hyperlink"/>
    <w:uiPriority w:val="99"/>
    <w:rPr>
      <w:rFonts w:cs="Times New Roman"/>
      <w:color w:val="0000ff"/>
      <w:u w:val="single"/>
    </w:rPr>
  </w:style>
  <w:style w:type="paragraph" w:styleId="739">
    <w:name w:val="List Paragraph"/>
    <w:basedOn w:val="725"/>
    <w:uiPriority w:val="34"/>
    <w:qFormat/>
    <w:pPr>
      <w:contextualSpacing/>
      <w:ind w:left="720"/>
    </w:pPr>
  </w:style>
  <w:style w:type="character" w:styleId="740" w:customStyle="1">
    <w:name w:val="Заголовок 1 Знак"/>
    <w:link w:val="726"/>
    <w:uiPriority w:val="99"/>
    <w:rPr>
      <w:rFonts w:ascii="Arial" w:hAnsi="Arial" w:eastAsia="Calibri" w:cs="Arial"/>
      <w:b/>
      <w:bCs/>
      <w:color w:val="26282f"/>
      <w:sz w:val="24"/>
      <w:szCs w:val="24"/>
      <w:lang w:eastAsia="en-US"/>
    </w:rPr>
  </w:style>
  <w:style w:type="paragraph" w:styleId="741" w:customStyle="1">
    <w:name w:val="Style3"/>
    <w:basedOn w:val="725"/>
    <w:uiPriority w:val="99"/>
    <w:pPr>
      <w:widowControl w:val="off"/>
    </w:pPr>
  </w:style>
  <w:style w:type="paragraph" w:styleId="742" w:customStyle="1">
    <w:name w:val="Абзац списка1"/>
    <w:basedOn w:val="725"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CC9FE-BF62-49A1-8E3F-12D58BD82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ufk34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Шакурова Эльвира Иршатовна</cp:lastModifiedBy>
  <cp:revision>136</cp:revision>
  <dcterms:created xsi:type="dcterms:W3CDTF">2015-03-23T08:41:00Z</dcterms:created>
  <dcterms:modified xsi:type="dcterms:W3CDTF">2025-12-02T04:52:36Z</dcterms:modified>
</cp:coreProperties>
</file>